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EB" w:rsidRPr="00D76E76" w:rsidRDefault="00954DEB" w:rsidP="00954DEB">
      <w:pPr>
        <w:pStyle w:val="NoSpacing"/>
        <w:rPr>
          <w:rFonts w:ascii="Arial" w:hAnsi="Arial" w:cs="Arial"/>
          <w:b/>
          <w:sz w:val="32"/>
          <w:szCs w:val="32"/>
        </w:rPr>
      </w:pPr>
      <w:r w:rsidRPr="00D76E76">
        <w:rPr>
          <w:rFonts w:ascii="Arial" w:hAnsi="Arial" w:cs="Arial"/>
          <w:b/>
          <w:sz w:val="32"/>
          <w:szCs w:val="32"/>
        </w:rPr>
        <w:t>The Title IX and Civil Rights</w:t>
      </w:r>
      <w:r w:rsidR="00D76E76">
        <w:rPr>
          <w:rFonts w:ascii="Arial" w:hAnsi="Arial" w:cs="Arial"/>
          <w:b/>
          <w:sz w:val="32"/>
          <w:szCs w:val="32"/>
        </w:rPr>
        <w:t xml:space="preserve"> </w:t>
      </w:r>
      <w:r w:rsidRPr="00D76E76">
        <w:rPr>
          <w:rFonts w:ascii="Arial" w:hAnsi="Arial" w:cs="Arial"/>
          <w:b/>
          <w:sz w:val="32"/>
          <w:szCs w:val="32"/>
        </w:rPr>
        <w:t>Team at Rocky Mountain University of Health Professions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954DEB" w:rsidRPr="00D76E76" w:rsidRDefault="00954DEB" w:rsidP="00954DEB">
      <w:pPr>
        <w:pStyle w:val="NoSpacing"/>
        <w:rPr>
          <w:rFonts w:ascii="Arial" w:hAnsi="Arial" w:cs="Arial"/>
          <w:color w:val="2E74B5" w:themeColor="accent1" w:themeShade="BF"/>
          <w:sz w:val="28"/>
          <w:szCs w:val="28"/>
          <w:u w:val="single"/>
        </w:rPr>
      </w:pPr>
      <w:r w:rsidRPr="00D76E76">
        <w:rPr>
          <w:rFonts w:ascii="Arial" w:hAnsi="Arial" w:cs="Arial"/>
          <w:color w:val="2E74B5" w:themeColor="accent1" w:themeShade="BF"/>
          <w:sz w:val="28"/>
          <w:szCs w:val="28"/>
          <w:u w:val="single"/>
        </w:rPr>
        <w:t>The RMU Equity Resolution Pool and Title IX Grievance Pool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The following employees at RMUoHP are part of the Title IX team in various roles, as outlined below.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2B3A">
        <w:rPr>
          <w:rFonts w:ascii="Arial" w:hAnsi="Arial" w:cs="Arial"/>
          <w:i/>
          <w:color w:val="2E74B5" w:themeColor="accent1" w:themeShade="BF"/>
          <w:sz w:val="24"/>
          <w:szCs w:val="24"/>
        </w:rPr>
        <w:t>Title IX Coordinators and Deputy Coordinators: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Raymond J Rodriguez, MPH, MCHES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Title IX Coordinator</w:t>
      </w:r>
      <w:r w:rsidRPr="00954DEB">
        <w:rPr>
          <w:rFonts w:ascii="Arial" w:hAnsi="Arial" w:cs="Arial"/>
          <w:sz w:val="24"/>
          <w:szCs w:val="24"/>
        </w:rPr>
        <w:t>, Institutional Equity Officer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Mark Horacek, PT, MS, PhD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 xml:space="preserve">Title IX Deputy Coordinator, </w:t>
      </w:r>
      <w:r w:rsidRPr="00954DEB">
        <w:rPr>
          <w:rFonts w:ascii="Arial" w:hAnsi="Arial" w:cs="Arial"/>
          <w:sz w:val="24"/>
          <w:szCs w:val="24"/>
        </w:rPr>
        <w:t xml:space="preserve">Executive Vice President of Academic Affairs &amp; </w:t>
      </w:r>
      <w:r w:rsidRPr="00954DEB">
        <w:rPr>
          <w:rFonts w:ascii="Arial" w:hAnsi="Arial" w:cs="Arial"/>
          <w:sz w:val="24"/>
          <w:szCs w:val="24"/>
        </w:rPr>
        <w:t>Provost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Nick Starr, MBA, CCP, CBP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Title IX Deputy Coordinator</w:t>
      </w:r>
      <w:r w:rsidRPr="00954DEB">
        <w:rPr>
          <w:rFonts w:ascii="Arial" w:hAnsi="Arial" w:cs="Arial"/>
          <w:sz w:val="24"/>
          <w:szCs w:val="24"/>
        </w:rPr>
        <w:t>, Human Resources Manager</w:t>
      </w:r>
    </w:p>
    <w:p w:rsidR="00954DEB" w:rsidRPr="00954DEB" w:rsidRDefault="00954DEB" w:rsidP="00954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EB" w:rsidRPr="00C62B3A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C62B3A">
        <w:rPr>
          <w:rFonts w:ascii="Arial" w:hAnsi="Arial" w:cs="Arial"/>
          <w:i/>
          <w:color w:val="2E74B5" w:themeColor="accent1" w:themeShade="BF"/>
          <w:sz w:val="24"/>
          <w:szCs w:val="24"/>
        </w:rPr>
        <w:t>Hearing Officers and Decision-Makers:</w:t>
      </w: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DEB">
        <w:rPr>
          <w:rFonts w:ascii="Arial" w:hAnsi="Arial" w:cs="Arial"/>
          <w:color w:val="000000"/>
          <w:sz w:val="24"/>
          <w:szCs w:val="24"/>
        </w:rPr>
        <w:t>Emily Dykstra, PhD</w:t>
      </w: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DEB">
        <w:rPr>
          <w:rFonts w:ascii="Arial" w:hAnsi="Arial" w:cs="Arial"/>
          <w:color w:val="000000"/>
          <w:sz w:val="24"/>
          <w:szCs w:val="24"/>
        </w:rPr>
        <w:t>Associate Dire</w:t>
      </w:r>
      <w:r w:rsidRPr="00954DEB">
        <w:rPr>
          <w:rFonts w:ascii="Arial" w:hAnsi="Arial" w:cs="Arial"/>
          <w:color w:val="000000"/>
          <w:sz w:val="24"/>
          <w:szCs w:val="24"/>
        </w:rPr>
        <w:t>ctor of Institutional Research</w:t>
      </w: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DEB">
        <w:rPr>
          <w:rFonts w:ascii="Arial" w:hAnsi="Arial" w:cs="Arial"/>
          <w:color w:val="000000"/>
          <w:sz w:val="24"/>
          <w:szCs w:val="24"/>
        </w:rPr>
        <w:t xml:space="preserve">Cynthia </w:t>
      </w:r>
      <w:proofErr w:type="spellStart"/>
      <w:r w:rsidRPr="00954DEB">
        <w:rPr>
          <w:rFonts w:ascii="Arial" w:hAnsi="Arial" w:cs="Arial"/>
          <w:color w:val="000000"/>
          <w:sz w:val="24"/>
          <w:szCs w:val="24"/>
        </w:rPr>
        <w:t>Jeffs</w:t>
      </w:r>
      <w:proofErr w:type="spellEnd"/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DEB">
        <w:rPr>
          <w:rFonts w:ascii="Arial" w:hAnsi="Arial" w:cs="Arial"/>
          <w:color w:val="000000"/>
          <w:sz w:val="24"/>
          <w:szCs w:val="24"/>
        </w:rPr>
        <w:t>Registrar</w:t>
      </w: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DEB" w:rsidRPr="00954DEB" w:rsidRDefault="00954DEB" w:rsidP="00954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C62B3A">
        <w:rPr>
          <w:rFonts w:ascii="Arial" w:hAnsi="Arial" w:cs="Arial"/>
          <w:i/>
          <w:color w:val="2E74B5" w:themeColor="accent1" w:themeShade="BF"/>
          <w:sz w:val="24"/>
          <w:szCs w:val="24"/>
        </w:rPr>
        <w:t>Investigators: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D76E76" w:rsidRDefault="00D76E76" w:rsidP="00954D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Bassett, MLIS, MS, AHIP, Independent Investigator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Bradley Bishop</w:t>
      </w:r>
      <w:r w:rsidR="00C62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B3A">
        <w:rPr>
          <w:rFonts w:ascii="Arial" w:hAnsi="Arial" w:cs="Arial"/>
          <w:sz w:val="24"/>
          <w:szCs w:val="24"/>
        </w:rPr>
        <w:t>MAcc</w:t>
      </w:r>
      <w:proofErr w:type="spellEnd"/>
      <w:r w:rsidR="00C62B3A">
        <w:rPr>
          <w:rFonts w:ascii="Arial" w:hAnsi="Arial" w:cs="Arial"/>
          <w:sz w:val="24"/>
          <w:szCs w:val="24"/>
        </w:rPr>
        <w:t xml:space="preserve">, Staff Accountant, </w:t>
      </w:r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Mace Hamblin, </w:t>
      </w:r>
      <w:proofErr w:type="spellStart"/>
      <w:r>
        <w:rPr>
          <w:rFonts w:ascii="Arial" w:hAnsi="Arial" w:cs="Arial"/>
          <w:sz w:val="24"/>
          <w:szCs w:val="24"/>
        </w:rPr>
        <w:t>DHSc</w:t>
      </w:r>
      <w:proofErr w:type="spellEnd"/>
      <w:r>
        <w:rPr>
          <w:rFonts w:ascii="Arial" w:hAnsi="Arial" w:cs="Arial"/>
          <w:sz w:val="24"/>
          <w:szCs w:val="24"/>
        </w:rPr>
        <w:t>, MPA, Associate Profe</w:t>
      </w:r>
      <w:r w:rsidR="00D76E76">
        <w:rPr>
          <w:rFonts w:ascii="Arial" w:hAnsi="Arial" w:cs="Arial"/>
          <w:sz w:val="24"/>
          <w:szCs w:val="24"/>
        </w:rPr>
        <w:t>ssor &amp; Principal Faculty, DMS Program</w:t>
      </w:r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Newmeyer</w:t>
      </w:r>
      <w:proofErr w:type="spellEnd"/>
      <w:r>
        <w:rPr>
          <w:rFonts w:ascii="Arial" w:hAnsi="Arial" w:cs="Arial"/>
          <w:sz w:val="24"/>
          <w:szCs w:val="24"/>
        </w:rPr>
        <w:t>, JD, MLS, AHIP, Learning Resource Center Director</w:t>
      </w:r>
    </w:p>
    <w:p w:rsidR="00954DEB" w:rsidRDefault="00C62B3A" w:rsidP="00954D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Spencer, IT Technician</w:t>
      </w:r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C62B3A" w:rsidRPr="00954DEB" w:rsidRDefault="00C62B3A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C62B3A" w:rsidRPr="00D76E76" w:rsidRDefault="00C62B3A" w:rsidP="00954DEB">
      <w:pPr>
        <w:pStyle w:val="NoSpacing"/>
        <w:rPr>
          <w:rFonts w:ascii="Arial" w:hAnsi="Arial" w:cs="Arial"/>
          <w:color w:val="2E74B5" w:themeColor="accent1" w:themeShade="BF"/>
          <w:sz w:val="28"/>
          <w:szCs w:val="28"/>
          <w:u w:val="single"/>
        </w:rPr>
      </w:pPr>
      <w:r w:rsidRPr="00D76E76">
        <w:rPr>
          <w:rFonts w:ascii="Arial" w:hAnsi="Arial" w:cs="Arial"/>
          <w:color w:val="2E74B5" w:themeColor="accent1" w:themeShade="BF"/>
          <w:sz w:val="28"/>
          <w:szCs w:val="28"/>
          <w:u w:val="single"/>
        </w:rPr>
        <w:t>Training from the US Department of Education:</w:t>
      </w:r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 xml:space="preserve">An unofficial copy of the Rule, and the Department’s commentary about the Rule, </w:t>
      </w:r>
      <w:proofErr w:type="gramStart"/>
      <w:r w:rsidRPr="00954DEB">
        <w:rPr>
          <w:rFonts w:ascii="Arial" w:hAnsi="Arial" w:cs="Arial"/>
          <w:sz w:val="24"/>
          <w:szCs w:val="24"/>
        </w:rPr>
        <w:t>can be viewed</w:t>
      </w:r>
      <w:proofErr w:type="gramEnd"/>
      <w:r w:rsidRPr="00954DEB">
        <w:rPr>
          <w:rFonts w:ascii="Arial" w:hAnsi="Arial" w:cs="Arial"/>
          <w:sz w:val="24"/>
          <w:szCs w:val="24"/>
        </w:rPr>
        <w:t> </w:t>
      </w:r>
      <w:hyperlink r:id="rId5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here</w:t>
        </w:r>
      </w:hyperlink>
      <w:r w:rsidRPr="00954DEB">
        <w:rPr>
          <w:rFonts w:ascii="Arial" w:hAnsi="Arial" w:cs="Arial"/>
          <w:sz w:val="24"/>
          <w:szCs w:val="24"/>
        </w:rPr>
        <w:t xml:space="preserve">; page references to the Rule or Preamble are to that version of the Rule and commentary found at that link. The official version of the Rule </w:t>
      </w:r>
      <w:proofErr w:type="gramStart"/>
      <w:r w:rsidRPr="00954DEB">
        <w:rPr>
          <w:rFonts w:ascii="Arial" w:hAnsi="Arial" w:cs="Arial"/>
          <w:sz w:val="24"/>
          <w:szCs w:val="24"/>
        </w:rPr>
        <w:t>can be found</w:t>
      </w:r>
      <w:proofErr w:type="gramEnd"/>
      <w:r w:rsidRPr="00954DEB">
        <w:rPr>
          <w:rFonts w:ascii="Arial" w:hAnsi="Arial" w:cs="Arial"/>
          <w:sz w:val="24"/>
          <w:szCs w:val="24"/>
        </w:rPr>
        <w:t> </w:t>
      </w:r>
      <w:hyperlink r:id="rId6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here</w:t>
        </w:r>
      </w:hyperlink>
      <w:r w:rsidRPr="00954DEB">
        <w:rPr>
          <w:rFonts w:ascii="Arial" w:hAnsi="Arial" w:cs="Arial"/>
          <w:sz w:val="24"/>
          <w:szCs w:val="24"/>
        </w:rPr>
        <w:t>.</w:t>
      </w:r>
      <w:r w:rsidRPr="00954DEB">
        <w:rPr>
          <w:rFonts w:ascii="Arial" w:hAnsi="Arial" w:cs="Arial"/>
          <w:sz w:val="24"/>
          <w:szCs w:val="24"/>
        </w:rPr>
        <w:br/>
      </w:r>
    </w:p>
    <w:p w:rsidR="00C62B3A" w:rsidRPr="00D76E76" w:rsidRDefault="00C62B3A" w:rsidP="00954DEB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hyperlink r:id="rId7" w:history="1">
        <w:r w:rsidR="00954DEB" w:rsidRPr="00D76E76">
          <w:rPr>
            <w:rStyle w:val="Hyperlink"/>
            <w:rFonts w:ascii="Arial" w:hAnsi="Arial" w:cs="Arial"/>
            <w:i/>
            <w:sz w:val="24"/>
            <w:szCs w:val="24"/>
          </w:rPr>
          <w:t xml:space="preserve">Main Title IX </w:t>
        </w:r>
        <w:r w:rsidRPr="00D76E76">
          <w:rPr>
            <w:rStyle w:val="Hyperlink"/>
            <w:rFonts w:ascii="Arial" w:hAnsi="Arial" w:cs="Arial"/>
            <w:i/>
            <w:sz w:val="24"/>
            <w:szCs w:val="24"/>
          </w:rPr>
          <w:t>Info from the US Department of Education Office of Civil Rights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br/>
        <w:t>Title IX Technical Assistance: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8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Fact Sheet: Final Title IX Regulations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9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S. Department of Education Title IX Final Rule Overview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0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Summary of Major Provisions of the Title IX Final Rule and Comparison to the NPRM</w:t>
        </w:r>
      </w:hyperlink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Title IX Webinars: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1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The First Amendment and Title IX: An OCR Short Webinar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2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OCR Short Webinar on How to Report Sexual Harassment under Title IX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3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Conducting and Adjudicating Title IX Hearings: An OCR Training Webinar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4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OCR Webinar on Due Process Protections under the New Title IX Regulations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5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 xml:space="preserve">OCR Webinar on New Title IX Protections </w:t>
        </w:r>
        <w:proofErr w:type="gramStart"/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Against</w:t>
        </w:r>
        <w:proofErr w:type="gramEnd"/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 xml:space="preserve"> Sexual Assault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6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OCR Webinar: Title IX Regulations Addressing Sexual Harassment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7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OCR Short Webinar on Sexual Violence in Public Schools</w:t>
        </w:r>
      </w:hyperlink>
    </w:p>
    <w:p w:rsidR="00C62B3A" w:rsidRDefault="00C62B3A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r w:rsidRPr="00954DEB">
        <w:rPr>
          <w:rFonts w:ascii="Arial" w:hAnsi="Arial" w:cs="Arial"/>
          <w:sz w:val="24"/>
          <w:szCs w:val="24"/>
        </w:rPr>
        <w:t>Title IX Blog Entries:</w:t>
      </w:r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8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August 14, 2020 Effective Date and Retroactivity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19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Live Hearings, Excluding Reliance on a Party’s Statements, and Verbal Conduct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20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The Requirement to Update School Websites with Important Title IX Information</w:t>
        </w:r>
      </w:hyperlink>
    </w:p>
    <w:p w:rsidR="00954DEB" w:rsidRPr="00954DEB" w:rsidRDefault="00954DEB" w:rsidP="00954DEB">
      <w:pPr>
        <w:pStyle w:val="NoSpacing"/>
        <w:rPr>
          <w:rFonts w:ascii="Arial" w:hAnsi="Arial" w:cs="Arial"/>
          <w:sz w:val="24"/>
          <w:szCs w:val="24"/>
        </w:rPr>
      </w:pPr>
      <w:hyperlink r:id="rId21" w:tgtFrame="_blank" w:history="1">
        <w:r w:rsidRPr="00954DEB">
          <w:rPr>
            <w:rFonts w:ascii="Arial" w:hAnsi="Arial" w:cs="Arial"/>
            <w:color w:val="0070C0"/>
            <w:sz w:val="24"/>
            <w:szCs w:val="24"/>
            <w:u w:val="single"/>
          </w:rPr>
          <w:t>Introduction to the Title IX Final Rule</w:t>
        </w:r>
      </w:hyperlink>
    </w:p>
    <w:p w:rsidR="00653F98" w:rsidRDefault="00653F98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D76E76" w:rsidRDefault="00D76E76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D76E76" w:rsidRPr="00D76E76" w:rsidRDefault="00D76E76" w:rsidP="00954DEB">
      <w:pPr>
        <w:pStyle w:val="NoSpacing"/>
        <w:rPr>
          <w:rFonts w:ascii="Arial" w:hAnsi="Arial" w:cs="Arial"/>
          <w:color w:val="2E74B5" w:themeColor="accent1" w:themeShade="BF"/>
          <w:sz w:val="28"/>
          <w:szCs w:val="28"/>
          <w:u w:val="single"/>
        </w:rPr>
      </w:pPr>
      <w:r w:rsidRPr="00D76E76">
        <w:rPr>
          <w:rFonts w:ascii="Arial" w:hAnsi="Arial" w:cs="Arial"/>
          <w:color w:val="2E74B5" w:themeColor="accent1" w:themeShade="BF"/>
          <w:sz w:val="28"/>
          <w:szCs w:val="28"/>
          <w:u w:val="single"/>
        </w:rPr>
        <w:t>Training from the Association of Title IX Administrators (ATIXA)</w:t>
      </w:r>
    </w:p>
    <w:p w:rsidR="00D76E76" w:rsidRDefault="00D76E76" w:rsidP="00954DEB">
      <w:pPr>
        <w:pStyle w:val="NoSpacing"/>
        <w:rPr>
          <w:rFonts w:ascii="Arial" w:hAnsi="Arial" w:cs="Arial"/>
          <w:sz w:val="24"/>
          <w:szCs w:val="24"/>
        </w:rPr>
      </w:pPr>
    </w:p>
    <w:p w:rsidR="00D76E76" w:rsidRPr="00954DEB" w:rsidRDefault="00D76E76" w:rsidP="00954D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above Investigators and Title IX Coordinators </w:t>
      </w:r>
      <w:proofErr w:type="gramStart"/>
      <w:r>
        <w:rPr>
          <w:rFonts w:ascii="Arial" w:hAnsi="Arial" w:cs="Arial"/>
          <w:sz w:val="24"/>
          <w:szCs w:val="24"/>
        </w:rPr>
        <w:t>have been trained</w:t>
      </w:r>
      <w:proofErr w:type="gramEnd"/>
      <w:r>
        <w:rPr>
          <w:rFonts w:ascii="Arial" w:hAnsi="Arial" w:cs="Arial"/>
          <w:sz w:val="24"/>
          <w:szCs w:val="24"/>
        </w:rPr>
        <w:t xml:space="preserve"> by ATIXA as an Investigator (Investigator Level One training).  Materials available for review upon request </w:t>
      </w:r>
      <w:proofErr w:type="gramStart"/>
      <w:r>
        <w:rPr>
          <w:rFonts w:ascii="Arial" w:hAnsi="Arial" w:cs="Arial"/>
          <w:sz w:val="24"/>
          <w:szCs w:val="24"/>
        </w:rPr>
        <w:t>so as to</w:t>
      </w:r>
      <w:proofErr w:type="gramEnd"/>
      <w:r>
        <w:rPr>
          <w:rFonts w:ascii="Arial" w:hAnsi="Arial" w:cs="Arial"/>
          <w:sz w:val="24"/>
          <w:szCs w:val="24"/>
        </w:rPr>
        <w:t xml:space="preserve"> not infringe upon proprietary copyright laws.  </w:t>
      </w:r>
      <w:bookmarkStart w:id="0" w:name="_GoBack"/>
      <w:bookmarkEnd w:id="0"/>
    </w:p>
    <w:sectPr w:rsidR="00D76E76" w:rsidRPr="0095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83"/>
    <w:multiLevelType w:val="multilevel"/>
    <w:tmpl w:val="591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E56AD"/>
    <w:multiLevelType w:val="multilevel"/>
    <w:tmpl w:val="D6F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A0DF4"/>
    <w:multiLevelType w:val="multilevel"/>
    <w:tmpl w:val="068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EB"/>
    <w:rsid w:val="002E1A99"/>
    <w:rsid w:val="00653F98"/>
    <w:rsid w:val="00954DEB"/>
    <w:rsid w:val="00C62B3A"/>
    <w:rsid w:val="00D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3B07"/>
  <w15:chartTrackingRefBased/>
  <w15:docId w15:val="{C0F6CC54-6E3C-4568-988C-264FC6A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E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Standard1">
    <w:name w:val="Ray Standard 1"/>
    <w:basedOn w:val="Normal"/>
    <w:qFormat/>
    <w:rsid w:val="002E1A99"/>
    <w:pPr>
      <w:spacing w:after="0" w:line="480" w:lineRule="auto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sid w:val="0095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DEB"/>
    <w:rPr>
      <w:color w:val="0000FF"/>
      <w:u w:val="single"/>
    </w:rPr>
  </w:style>
  <w:style w:type="paragraph" w:styleId="NoSpacing">
    <w:name w:val="No Spacing"/>
    <w:uiPriority w:val="1"/>
    <w:qFormat/>
    <w:rsid w:val="0095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xYK0Cqxrg2FpGOBUEnM0x?domain=lnks.gd" TargetMode="External"/><Relationship Id="rId13" Type="http://schemas.openxmlformats.org/officeDocument/2006/relationships/hyperlink" Target="https://protect-us.mimecast.com/s/RgSoCyPDqmFlENDcxgSUH?domain=lnks.gd" TargetMode="External"/><Relationship Id="rId18" Type="http://schemas.openxmlformats.org/officeDocument/2006/relationships/hyperlink" Target="https://protect-us.mimecast.com/s/WCixCER2YPcQKWyfJ1glj?domain=lnks.g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-us.mimecast.com/s/PDxpCKr2g6cj0qKH7tbIG?domain=lnks.gd" TargetMode="External"/><Relationship Id="rId7" Type="http://schemas.openxmlformats.org/officeDocument/2006/relationships/hyperlink" Target="https://sites.ed.gov/titleix/" TargetMode="External"/><Relationship Id="rId12" Type="http://schemas.openxmlformats.org/officeDocument/2006/relationships/hyperlink" Target="https://protect-us.mimecast.com/s/I71uCxkBpli2KJ8FgpUb6?domain=lnks.gd" TargetMode="External"/><Relationship Id="rId17" Type="http://schemas.openxmlformats.org/officeDocument/2006/relationships/hyperlink" Target="https://protect-us.mimecast.com/s/nZmJCDk2X0iRQBpT6aOFu?domain=lnks.g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Xc0iCBB2VnIg3VqfpYdvm?domain=lnks.gd" TargetMode="External"/><Relationship Id="rId20" Type="http://schemas.openxmlformats.org/officeDocument/2006/relationships/hyperlink" Target="https://protect-us.mimecast.com/s/WJq-CJ624Pu7P8OH5K4vp?domain=lnks.g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w74VCpYq4ztjPzkHYq6sW?domain=lnks.gd" TargetMode="External"/><Relationship Id="rId11" Type="http://schemas.openxmlformats.org/officeDocument/2006/relationships/hyperlink" Target="https://protect-us.mimecast.com/s/gDRVCwpAoksDXL6HxXJKM?domain=lnks.gd" TargetMode="External"/><Relationship Id="rId5" Type="http://schemas.openxmlformats.org/officeDocument/2006/relationships/hyperlink" Target="https://protect-us.mimecast.com/s/Kx2mCo203Ou7JX9Hzds5S?domain=lnks.gd" TargetMode="External"/><Relationship Id="rId15" Type="http://schemas.openxmlformats.org/officeDocument/2006/relationships/hyperlink" Target="https://protect-us.mimecast.com/s/IPx2CAD2RmcvM90hwrYHQ?domain=lnks.g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tect-us.mimecast.com/s/NHhSCv2znjuDoW1H5ZjBm?domain=lnks.gd" TargetMode="External"/><Relationship Id="rId19" Type="http://schemas.openxmlformats.org/officeDocument/2006/relationships/hyperlink" Target="https://protect-us.mimecast.com/s/ptOaCG6219uVoJntEILxi?domain=lnks.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FlvKCrkvjYi5XAMUjhpOQ?domain=lnks.gd" TargetMode="External"/><Relationship Id="rId14" Type="http://schemas.openxmlformats.org/officeDocument/2006/relationships/hyperlink" Target="https://protect-us.mimecast.com/s/wMWXCzpErns0vRDh7bC2u?domain=lnks.g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Rodriguez (RMUoHP)</dc:creator>
  <cp:keywords/>
  <dc:description/>
  <cp:lastModifiedBy>Ray Rodriguez (RMUoHP)</cp:lastModifiedBy>
  <cp:revision>1</cp:revision>
  <dcterms:created xsi:type="dcterms:W3CDTF">2020-08-14T20:19:00Z</dcterms:created>
  <dcterms:modified xsi:type="dcterms:W3CDTF">2020-08-14T20:51:00Z</dcterms:modified>
</cp:coreProperties>
</file>